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6A52C">
      <w:pPr>
        <w:spacing w:line="560" w:lineRule="exact"/>
        <w:contextualSpacing/>
        <w:jc w:val="left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附件1</w:t>
      </w:r>
    </w:p>
    <w:p w14:paraId="4762DA97">
      <w:pPr>
        <w:spacing w:line="560" w:lineRule="exact"/>
        <w:contextualSpacing/>
        <w:jc w:val="center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</w:p>
    <w:p w14:paraId="7A4FA578">
      <w:pPr>
        <w:spacing w:line="560" w:lineRule="exact"/>
        <w:contextualSpacing/>
        <w:jc w:val="center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天津财经大学珠江学院</w:t>
      </w:r>
    </w:p>
    <w:p w14:paraId="7DFE5ACE">
      <w:pPr>
        <w:spacing w:line="560" w:lineRule="exact"/>
        <w:contextualSpacing/>
        <w:jc w:val="center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TW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教材使用监测工作方案</w:t>
      </w:r>
    </w:p>
    <w:p w14:paraId="759787D0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</w:p>
    <w:p w14:paraId="4E33C3F3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为进一步加强教材建设和管理、全面提升课程实施效果和教材质量，贯彻落实《教育部办公厅关于开展课程实施与教材使用监测工作的通知》（教材厅函[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2023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]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号）要求和全国课程实施与教材使用监测工作部署会精神，落实《市教委两委关于开展课程实施与教材使用监测工作的通知》（津教材函[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2023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]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号）和《市教委关于全面实施普通高等学校教材监测工作的通知》（津教材函[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]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号）要求，制定本方案。</w:t>
      </w:r>
    </w:p>
    <w:p w14:paraId="5AE4A81B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TW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一、监测范围</w:t>
      </w:r>
    </w:p>
    <w:p w14:paraId="36043D12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监测面向全院教学活动中正在使用的具有国际标准书号（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ISBN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）的各类教材（含境外引进教材）。</w:t>
      </w:r>
    </w:p>
    <w:p w14:paraId="2539EC2C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TW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二、监测内容</w:t>
      </w:r>
    </w:p>
    <w:p w14:paraId="3AC95882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zh-TW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（一）重点监测马工程重点教材统一使用情况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zh-TW" w:eastAsia="zh-CN"/>
        </w:rPr>
        <w:t>。</w:t>
      </w:r>
    </w:p>
    <w:p w14:paraId="1C75D0C1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（二）重点监测普通高等教育国家规划教材选用使用情况。监测天津市级规划教材建设和选用情况。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highlight w:val="none"/>
          <w:lang w:val="en-US" w:eastAsia="zh-CN"/>
        </w:rPr>
        <w:t>了解掌握学院各教学单位依托优势学科建设、培育市级精品教材，院级重点教材的情况，以及教材选用、使用情况。</w:t>
      </w:r>
    </w:p>
    <w:p w14:paraId="5BAF53E8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（三）跟踪监测教学活动中使用的其他各类教材在政治性、思想性、科学性、适宜性等方面的情况。全面监测学院正在使用的教材在思想内涵、科学专业、服务育人等方面的情况，分类监测各种形式教材使用情况。</w:t>
      </w:r>
    </w:p>
    <w:p w14:paraId="01D2C57A">
      <w:pPr>
        <w:spacing w:line="560" w:lineRule="exact"/>
        <w:ind w:firstLine="640" w:firstLineChars="200"/>
        <w:contextualSpacing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三、监测主体及职责</w:t>
      </w:r>
    </w:p>
    <w:p w14:paraId="6E19B380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我院教材使用监测工作实行分级负责制。</w:t>
      </w:r>
    </w:p>
    <w:p w14:paraId="2D109492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学院成立天津财经大学珠江学院教材使用监测工作组（以下简称“工作组”）。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由分管教学副院长任组长，党委宣传部、教务处负责人任副组长，教学单位分管教学工作负责人为成员。工作组在学院教材管理工作领导小组的指导下，统筹学院的教材使用监测工作。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工作组办公室设在教务处，承担工作组日常工作，实施具体教材使用监测工作方案。工作组负责制定监测工作实施方案和监测指标，组织实施监测工作。及时研究解决实施监测过程中的重点、难点问题，撰写年度监测报告。</w:t>
      </w:r>
    </w:p>
    <w:p w14:paraId="0ECA84F7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各教学单位负责本单位教材使用监测工作。严格执行学院教材选用管理制度，牵头负责本单位各专业、各课程教材的选用初审与全程监测工作。对本单位所有课堂使用的正式教材、讲义、电子教学资料等开展全覆盖审核。常态化开展课堂教材使用情况巡查与动态监测，覆盖所有教学班、所有课程。负责教材选用审核、报送工作，及时向教务处报告发现的重要问题，按时上报教材使用数据。</w:t>
      </w:r>
    </w:p>
    <w:p w14:paraId="2BA8F0BE">
      <w:pPr>
        <w:spacing w:line="560" w:lineRule="exact"/>
        <w:ind w:firstLine="640" w:firstLineChars="200"/>
        <w:contextualSpacing/>
        <w:rPr>
          <w:rFonts w:hint="default" w:ascii="黑体" w:hAnsi="黑体" w:eastAsia="黑体" w:cs="黑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四、监测方式</w:t>
      </w:r>
    </w:p>
    <w:p w14:paraId="6CBA65CF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汇集各教学单位教材年度使用数据，常态化开展实地调研，综合运用大数据、问卷调查、实地访谈等方式进行监测，建立畅通的问题反馈渠道，广泛听取师生的意见建议。</w:t>
      </w:r>
    </w:p>
    <w:p w14:paraId="36E4755C">
      <w:pPr>
        <w:spacing w:line="560" w:lineRule="exact"/>
        <w:ind w:firstLine="640" w:firstLineChars="200"/>
        <w:contextualSpacing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五、工作进度安排</w:t>
      </w:r>
    </w:p>
    <w:p w14:paraId="1710AD18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（一）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年试行实施教材使用监测方案。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2027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年按照教育部统一要求，实行教材使用情况年报制度。</w:t>
      </w:r>
    </w:p>
    <w:p w14:paraId="03F03E3D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（二）马工程重点教材继续实行统一使用年报制度，根据市教委工作安排通过教育部教育质量评估中心“高等教育质量监测国家数据平台”，按学年填报马工程重点教材对应课程开设情况、教材使用情况的相关数据，提交教材使用情况报告。</w:t>
      </w:r>
    </w:p>
    <w:p w14:paraId="28F55BF1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六、组织保障</w:t>
      </w:r>
    </w:p>
    <w:p w14:paraId="2469B17C">
      <w:pPr>
        <w:spacing w:line="560" w:lineRule="exact"/>
        <w:ind w:firstLine="640" w:firstLineChars="200"/>
        <w:contextualSpacing/>
        <w:rPr>
          <w:rFonts w:hint="default" w:ascii="楷体" w:hAnsi="楷体" w:eastAsia="楷体" w:cs="楷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000000"/>
          <w:kern w:val="0"/>
          <w:sz w:val="32"/>
          <w:szCs w:val="32"/>
          <w:lang w:val="en-US" w:eastAsia="zh-CN"/>
        </w:rPr>
        <w:t>（一）加强组织保障</w:t>
      </w:r>
    </w:p>
    <w:p w14:paraId="1A7DB296">
      <w:pPr>
        <w:spacing w:line="560" w:lineRule="exact"/>
        <w:ind w:firstLine="640" w:firstLineChars="200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教材使用监测工作是教育部贯彻落实党的二十大关于“加强教材建设和管理”的重大部署。各单位、各相关部门切实提高政治站位，高度重视教材使用监测工作，将此项工作的推动落实作为我院提升教材建设水平的重要举措，根据不同类型教材特点和监测要求，精心组织好我院的教材使用监测工作。</w:t>
      </w:r>
    </w:p>
    <w:p w14:paraId="1646E680">
      <w:pPr>
        <w:spacing w:line="560" w:lineRule="exact"/>
        <w:ind w:firstLine="640" w:firstLineChars="200"/>
        <w:contextualSpacing/>
        <w:rPr>
          <w:rFonts w:hint="default" w:ascii="楷体" w:hAnsi="楷体" w:eastAsia="楷体" w:cs="楷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000000"/>
          <w:kern w:val="0"/>
          <w:sz w:val="32"/>
          <w:szCs w:val="32"/>
          <w:lang w:val="en-US" w:eastAsia="zh-CN"/>
        </w:rPr>
        <w:t>（二）完善监测机制</w:t>
      </w:r>
    </w:p>
    <w:p w14:paraId="75C0E763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建立教材风险常态化研判机制，各教学单位定期汇总教材使用情况，排查教材、讲义及电子教学资料，重大风险第一时间上报教务处，实现早发现、早预警、早处置。完善考核机制，将教材选用审核、日常监测、整改及数据报送纳入教学单位教学管理考核，细化指标标准。</w:t>
      </w:r>
    </w:p>
    <w:p w14:paraId="7F72B544">
      <w:pPr>
        <w:spacing w:line="560" w:lineRule="exact"/>
        <w:ind w:firstLine="640" w:firstLineChars="200"/>
        <w:contextualSpacing/>
        <w:rPr>
          <w:rFonts w:hint="eastAsia" w:ascii="楷体" w:hAnsi="楷体" w:eastAsia="楷体" w:cs="楷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000000"/>
          <w:kern w:val="0"/>
          <w:sz w:val="32"/>
          <w:szCs w:val="32"/>
          <w:lang w:val="en-US" w:eastAsia="zh-CN"/>
        </w:rPr>
        <w:t>（三）监督与闭环保障</w:t>
      </w:r>
    </w:p>
    <w:p w14:paraId="3DE8A24E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落实教材闭环管理与常态化排查整改。工作组定对监测工作中发现的问题，限期整改、跟踪复查。同步做好意识形态舆情防控，紧盯教学环节风险，苗头性问题及时处置上报，定期报送监测情况，防范教材领域风险。</w:t>
      </w:r>
    </w:p>
    <w:p w14:paraId="20439069">
      <w:pPr>
        <w:spacing w:line="560" w:lineRule="exact"/>
        <w:ind w:firstLine="640" w:firstLineChars="200"/>
        <w:contextualSpacing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</w:p>
    <w:p w14:paraId="0D930E51">
      <w:pPr>
        <w:spacing w:line="560" w:lineRule="exact"/>
        <w:ind w:firstLine="640" w:firstLineChars="200"/>
        <w:contextualSpacing/>
        <w:rPr>
          <w:rFonts w:hint="eastAsia" w:ascii="楷体" w:hAnsi="楷体" w:eastAsia="楷体" w:cs="楷体"/>
          <w:color w:val="000000"/>
          <w:kern w:val="0"/>
          <w:sz w:val="32"/>
          <w:szCs w:val="32"/>
          <w:lang w:val="en-US" w:eastAsia="zh-CN"/>
        </w:rPr>
      </w:pPr>
    </w:p>
    <w:p w14:paraId="03E7A581">
      <w:pPr>
        <w:spacing w:line="560" w:lineRule="exact"/>
        <w:ind w:firstLine="640" w:firstLineChars="200"/>
        <w:contextualSpacing/>
        <w:rPr>
          <w:rFonts w:hint="eastAsia" w:ascii="楷体" w:hAnsi="楷体" w:eastAsia="楷体" w:cs="楷体"/>
          <w:color w:val="000000"/>
          <w:kern w:val="0"/>
          <w:sz w:val="32"/>
          <w:szCs w:val="32"/>
          <w:lang w:val="en-US" w:eastAsia="zh-CN"/>
        </w:rPr>
      </w:pPr>
    </w:p>
    <w:p w14:paraId="78210A1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3F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2026-10-10T06:23:31Z</dcterms:created>
  <dc:creator>lenovo</dc:creator>
  <cp:lastModifiedBy>贾毅</cp:lastModifiedBy>
  <dcterms:modified xsi:type="dcterms:W3CDTF">2026-10-10T06:24:58Z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eyJoZGlkIjoiYTNkZTdkZDFlMzEzZjBhNWY4ZTczNzkwMzQyZTE4OWIiLCJ1c2VySWQiOiI3MzE3NjU5MzUifQ==</vt:lpwstr>
  </property>
  <property fmtid="{D5CDD505-2E9C-101B-9397-08002B2CF9AE}" pid="4" name="ICV">
    <vt:lpwstr>6616CA44F9BE4096AC6EC0D3C6EEF53F_12</vt:lpwstr>
  </property>
</Properties>
</file>