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0A33FD">
      <w:pPr>
        <w:pStyle w:val="3"/>
        <w:spacing w:before="65"/>
        <w:ind w:left="0"/>
        <w:jc w:val="both"/>
        <w:rPr>
          <w:rFonts w:hint="eastAsia" w:ascii="黑体" w:hAnsi="黑体" w:eastAsia="黑体" w:cs="黑体"/>
          <w:color w:val="auto"/>
          <w:lang w:val="en-US" w:eastAsia="zh-CN"/>
        </w:rPr>
      </w:pPr>
      <w:r>
        <w:rPr>
          <w:rFonts w:hint="eastAsia" w:ascii="黑体" w:hAnsi="黑体" w:eastAsia="黑体" w:cs="黑体"/>
          <w:color w:val="auto"/>
        </w:rPr>
        <w:t>附件</w:t>
      </w:r>
      <w:r>
        <w:rPr>
          <w:rFonts w:hint="eastAsia" w:ascii="黑体" w:hAnsi="黑体" w:eastAsia="黑体" w:cs="黑体"/>
          <w:color w:val="auto"/>
          <w:lang w:val="en-US" w:eastAsia="zh-CN"/>
        </w:rPr>
        <w:t>3</w:t>
      </w:r>
    </w:p>
    <w:p w14:paraId="4781CD3D">
      <w:pPr>
        <w:pStyle w:val="2"/>
        <w:keepNext w:val="0"/>
        <w:keepLines w:val="0"/>
        <w:pageBreakBefore w:val="0"/>
        <w:widowControl w:val="0"/>
        <w:kinsoku/>
        <w:wordWrap/>
        <w:overflowPunct/>
        <w:topLinePunct w:val="0"/>
        <w:autoSpaceDE/>
        <w:autoSpaceDN/>
        <w:bidi w:val="0"/>
        <w:adjustRightInd/>
        <w:snapToGrid/>
        <w:spacing w:before="0" w:line="640" w:lineRule="exact"/>
        <w:ind w:left="0" w:right="0" w:firstLine="0"/>
        <w:jc w:val="center"/>
        <w:textAlignment w:val="auto"/>
        <w:rPr>
          <w:rFonts w:hint="eastAsia" w:ascii="方正小标宋简体" w:hAnsi="黑体" w:eastAsia="方正小标宋简体" w:cs="宋体"/>
          <w:bCs/>
          <w:color w:val="auto"/>
          <w:sz w:val="36"/>
          <w:szCs w:val="36"/>
          <w:lang w:eastAsia="zh-CN"/>
        </w:rPr>
      </w:pPr>
      <w:r>
        <w:rPr>
          <w:rFonts w:hint="eastAsia" w:ascii="方正小标宋简体" w:hAnsi="黑体" w:eastAsia="方正小标宋简体" w:cs="宋体"/>
          <w:bCs/>
          <w:color w:val="auto"/>
          <w:sz w:val="36"/>
          <w:szCs w:val="36"/>
          <w:lang w:eastAsia="zh-CN"/>
        </w:rPr>
        <w:t>首届京津冀蒙本科高校课程思政教学比赛校内选拔赛暨2025年天津财经大学珠江学院课程思政教学比赛</w:t>
      </w:r>
    </w:p>
    <w:p w14:paraId="5FC49E0A">
      <w:pPr>
        <w:pStyle w:val="2"/>
        <w:keepNext w:val="0"/>
        <w:keepLines w:val="0"/>
        <w:pageBreakBefore w:val="0"/>
        <w:widowControl w:val="0"/>
        <w:kinsoku/>
        <w:wordWrap/>
        <w:overflowPunct/>
        <w:topLinePunct w:val="0"/>
        <w:autoSpaceDE/>
        <w:autoSpaceDN/>
        <w:bidi w:val="0"/>
        <w:adjustRightInd/>
        <w:snapToGrid/>
        <w:spacing w:before="0" w:line="640" w:lineRule="exact"/>
        <w:ind w:left="0" w:right="0" w:firstLine="0"/>
        <w:jc w:val="center"/>
        <w:textAlignment w:val="auto"/>
        <w:rPr>
          <w:rFonts w:hint="eastAsia" w:ascii="方正小标宋简体" w:hAnsi="黑体" w:eastAsia="方正小标宋简体" w:cs="宋体"/>
          <w:bCs/>
          <w:color w:val="auto"/>
          <w:sz w:val="36"/>
          <w:szCs w:val="36"/>
        </w:rPr>
      </w:pPr>
      <w:bookmarkStart w:id="0" w:name="_GoBack"/>
      <w:bookmarkEnd w:id="0"/>
      <w:r>
        <w:rPr>
          <w:rFonts w:hint="eastAsia" w:ascii="方正小标宋简体" w:hAnsi="黑体" w:eastAsia="方正小标宋简体" w:cs="宋体"/>
          <w:bCs/>
          <w:color w:val="auto"/>
          <w:sz w:val="36"/>
          <w:szCs w:val="36"/>
        </w:rPr>
        <w:t>评分标准表</w:t>
      </w:r>
    </w:p>
    <w:p w14:paraId="37159DD1">
      <w:pPr>
        <w:pStyle w:val="3"/>
        <w:spacing w:line="600" w:lineRule="exact"/>
        <w:jc w:val="both"/>
        <w:rPr>
          <w:rFonts w:ascii="楷体" w:hAnsi="楷体" w:eastAsia="楷体" w:cs="楷体"/>
          <w:color w:val="auto"/>
        </w:rPr>
      </w:pPr>
      <w:r>
        <w:rPr>
          <w:rFonts w:hint="eastAsia" w:ascii="楷体" w:hAnsi="楷体" w:eastAsia="楷体" w:cs="楷体"/>
          <w:color w:val="auto"/>
        </w:rPr>
        <w:t>（一）课堂教学设计作品评分标准（100分）</w:t>
      </w:r>
    </w:p>
    <w:tbl>
      <w:tblPr>
        <w:tblStyle w:val="5"/>
        <w:tblW w:w="8740" w:type="dxa"/>
        <w:tblInd w:w="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00"/>
        <w:gridCol w:w="6331"/>
        <w:gridCol w:w="1109"/>
      </w:tblGrid>
      <w:tr w14:paraId="4FE734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2" w:hRule="atLeast"/>
        </w:trPr>
        <w:tc>
          <w:tcPr>
            <w:tcW w:w="1300" w:type="dxa"/>
            <w:noWrap w:val="0"/>
            <w:vAlign w:val="center"/>
          </w:tcPr>
          <w:p w14:paraId="63115223">
            <w:pPr>
              <w:pStyle w:val="7"/>
              <w:spacing w:line="360" w:lineRule="exact"/>
              <w:jc w:val="center"/>
              <w:rPr>
                <w:b/>
                <w:color w:val="auto"/>
                <w:sz w:val="21"/>
                <w:szCs w:val="21"/>
              </w:rPr>
            </w:pPr>
            <w:r>
              <w:rPr>
                <w:rFonts w:hint="eastAsia"/>
                <w:b/>
                <w:color w:val="auto"/>
                <w:sz w:val="21"/>
                <w:szCs w:val="21"/>
              </w:rPr>
              <w:t>评价指标</w:t>
            </w:r>
          </w:p>
        </w:tc>
        <w:tc>
          <w:tcPr>
            <w:tcW w:w="6331" w:type="dxa"/>
            <w:noWrap w:val="0"/>
            <w:vAlign w:val="center"/>
          </w:tcPr>
          <w:p w14:paraId="7B3AE820">
            <w:pPr>
              <w:pStyle w:val="7"/>
              <w:spacing w:line="360" w:lineRule="exact"/>
              <w:jc w:val="center"/>
              <w:rPr>
                <w:b/>
                <w:color w:val="auto"/>
                <w:sz w:val="24"/>
              </w:rPr>
            </w:pPr>
            <w:r>
              <w:rPr>
                <w:rFonts w:hint="eastAsia"/>
                <w:b/>
                <w:color w:val="auto"/>
                <w:sz w:val="24"/>
              </w:rPr>
              <w:t>具体内容</w:t>
            </w:r>
          </w:p>
        </w:tc>
        <w:tc>
          <w:tcPr>
            <w:tcW w:w="1109" w:type="dxa"/>
            <w:noWrap w:val="0"/>
            <w:vAlign w:val="center"/>
          </w:tcPr>
          <w:p w14:paraId="52E7538F">
            <w:pPr>
              <w:pStyle w:val="7"/>
              <w:spacing w:line="360" w:lineRule="exact"/>
              <w:jc w:val="center"/>
              <w:rPr>
                <w:b/>
                <w:color w:val="auto"/>
                <w:sz w:val="24"/>
              </w:rPr>
            </w:pPr>
            <w:r>
              <w:rPr>
                <w:rFonts w:hint="eastAsia"/>
                <w:b/>
                <w:color w:val="auto"/>
                <w:sz w:val="24"/>
              </w:rPr>
              <w:t>分值</w:t>
            </w:r>
          </w:p>
        </w:tc>
      </w:tr>
      <w:tr w14:paraId="7BA3D5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6" w:hRule="atLeast"/>
        </w:trPr>
        <w:tc>
          <w:tcPr>
            <w:tcW w:w="1300" w:type="dxa"/>
            <w:noWrap w:val="0"/>
            <w:vAlign w:val="center"/>
          </w:tcPr>
          <w:p w14:paraId="6744C934">
            <w:pPr>
              <w:pStyle w:val="7"/>
              <w:spacing w:line="360" w:lineRule="exact"/>
              <w:jc w:val="center"/>
              <w:rPr>
                <w:b/>
                <w:bCs/>
                <w:color w:val="auto"/>
                <w:sz w:val="21"/>
                <w:szCs w:val="21"/>
              </w:rPr>
            </w:pPr>
            <w:r>
              <w:rPr>
                <w:rFonts w:hint="eastAsia"/>
                <w:b/>
                <w:bCs/>
                <w:color w:val="auto"/>
                <w:sz w:val="21"/>
                <w:szCs w:val="21"/>
              </w:rPr>
              <w:t>教学内容</w:t>
            </w:r>
          </w:p>
        </w:tc>
        <w:tc>
          <w:tcPr>
            <w:tcW w:w="6331" w:type="dxa"/>
            <w:noWrap w:val="0"/>
            <w:vAlign w:val="center"/>
          </w:tcPr>
          <w:p w14:paraId="2B5DB7E8">
            <w:pPr>
              <w:pStyle w:val="7"/>
              <w:spacing w:line="360" w:lineRule="exact"/>
              <w:jc w:val="both"/>
              <w:rPr>
                <w:rFonts w:ascii="仿宋" w:hAnsi="仿宋" w:eastAsia="仿宋" w:cs="仿宋"/>
                <w:color w:val="auto"/>
                <w:sz w:val="24"/>
              </w:rPr>
            </w:pPr>
            <w:r>
              <w:rPr>
                <w:rFonts w:hint="eastAsia" w:ascii="仿宋" w:hAnsi="仿宋" w:eastAsia="仿宋" w:cs="仿宋"/>
                <w:color w:val="auto"/>
                <w:sz w:val="24"/>
              </w:rPr>
              <w:t>教学信息量充足，符合学生认知规律，具有较好的高阶性、创新性和一定挑战度。运用思想政治理论教育的学科思维处理教材，组织教学内容，融入政治认同、家国情怀、文化素养、宪法法治意识、道德修养等要素，潜移默化地对学生思想意识、行为举止产生积极影响，实现价值塑造。知识传授和能力培养相融合，教书与育人相统一。</w:t>
            </w:r>
          </w:p>
        </w:tc>
        <w:tc>
          <w:tcPr>
            <w:tcW w:w="1109" w:type="dxa"/>
            <w:noWrap w:val="0"/>
            <w:vAlign w:val="center"/>
          </w:tcPr>
          <w:p w14:paraId="6AE40B88">
            <w:pPr>
              <w:pStyle w:val="7"/>
              <w:spacing w:line="360" w:lineRule="exact"/>
              <w:jc w:val="center"/>
              <w:rPr>
                <w:rFonts w:ascii="仿宋" w:hAnsi="仿宋" w:eastAsia="仿宋" w:cs="仿宋"/>
                <w:color w:val="auto"/>
                <w:sz w:val="24"/>
              </w:rPr>
            </w:pPr>
            <w:r>
              <w:rPr>
                <w:rFonts w:hint="eastAsia" w:ascii="仿宋" w:hAnsi="仿宋" w:eastAsia="仿宋" w:cs="仿宋"/>
                <w:color w:val="auto"/>
                <w:sz w:val="24"/>
              </w:rPr>
              <w:t>40</w:t>
            </w:r>
          </w:p>
        </w:tc>
      </w:tr>
      <w:tr w14:paraId="7521DE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5" w:hRule="atLeast"/>
        </w:trPr>
        <w:tc>
          <w:tcPr>
            <w:tcW w:w="1300" w:type="dxa"/>
            <w:noWrap w:val="0"/>
            <w:vAlign w:val="center"/>
          </w:tcPr>
          <w:p w14:paraId="1AFA8FD0">
            <w:pPr>
              <w:pStyle w:val="7"/>
              <w:spacing w:line="360" w:lineRule="exact"/>
              <w:jc w:val="center"/>
              <w:rPr>
                <w:b/>
                <w:bCs/>
                <w:color w:val="auto"/>
                <w:sz w:val="21"/>
                <w:szCs w:val="21"/>
              </w:rPr>
            </w:pPr>
            <w:r>
              <w:rPr>
                <w:rFonts w:hint="eastAsia"/>
                <w:b/>
                <w:bCs/>
                <w:color w:val="auto"/>
                <w:sz w:val="21"/>
                <w:szCs w:val="21"/>
              </w:rPr>
              <w:t>教学方法</w:t>
            </w:r>
          </w:p>
          <w:p w14:paraId="73C6AEF9">
            <w:pPr>
              <w:pStyle w:val="7"/>
              <w:spacing w:line="360" w:lineRule="exact"/>
              <w:jc w:val="center"/>
              <w:rPr>
                <w:b/>
                <w:bCs/>
                <w:color w:val="auto"/>
                <w:sz w:val="21"/>
                <w:szCs w:val="21"/>
              </w:rPr>
            </w:pPr>
            <w:r>
              <w:rPr>
                <w:rFonts w:hint="eastAsia"/>
                <w:b/>
                <w:bCs/>
                <w:color w:val="auto"/>
                <w:sz w:val="21"/>
                <w:szCs w:val="21"/>
              </w:rPr>
              <w:t>与手段</w:t>
            </w:r>
          </w:p>
        </w:tc>
        <w:tc>
          <w:tcPr>
            <w:tcW w:w="6331" w:type="dxa"/>
            <w:noWrap w:val="0"/>
            <w:vAlign w:val="center"/>
          </w:tcPr>
          <w:p w14:paraId="6EAD2B0B">
            <w:pPr>
              <w:pStyle w:val="7"/>
              <w:spacing w:line="360" w:lineRule="exact"/>
              <w:jc w:val="both"/>
              <w:rPr>
                <w:rFonts w:ascii="仿宋" w:hAnsi="仿宋" w:eastAsia="仿宋" w:cs="仿宋"/>
                <w:color w:val="auto"/>
                <w:sz w:val="24"/>
              </w:rPr>
            </w:pPr>
            <w:r>
              <w:rPr>
                <w:rFonts w:hint="eastAsia" w:ascii="仿宋" w:hAnsi="仿宋" w:eastAsia="仿宋" w:cs="仿宋"/>
                <w:color w:val="auto"/>
                <w:sz w:val="24"/>
              </w:rPr>
              <w:t>讲授、讨论、探究、项目、案例、实验等教学方法恰当使用，多媒体、虚拟仿真、计算机网络等教学手段有效运用。</w:t>
            </w:r>
          </w:p>
        </w:tc>
        <w:tc>
          <w:tcPr>
            <w:tcW w:w="1109" w:type="dxa"/>
            <w:noWrap w:val="0"/>
            <w:vAlign w:val="center"/>
          </w:tcPr>
          <w:p w14:paraId="29BD714F">
            <w:pPr>
              <w:pStyle w:val="7"/>
              <w:spacing w:line="360" w:lineRule="exact"/>
              <w:jc w:val="center"/>
              <w:rPr>
                <w:rFonts w:ascii="仿宋" w:hAnsi="仿宋" w:eastAsia="仿宋" w:cs="仿宋"/>
                <w:color w:val="auto"/>
                <w:sz w:val="24"/>
              </w:rPr>
            </w:pPr>
            <w:r>
              <w:rPr>
                <w:rFonts w:hint="eastAsia" w:ascii="仿宋" w:hAnsi="仿宋" w:eastAsia="仿宋" w:cs="仿宋"/>
                <w:color w:val="auto"/>
                <w:sz w:val="24"/>
              </w:rPr>
              <w:t>20</w:t>
            </w:r>
          </w:p>
        </w:tc>
      </w:tr>
      <w:tr w14:paraId="38BE11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0" w:hRule="atLeast"/>
        </w:trPr>
        <w:tc>
          <w:tcPr>
            <w:tcW w:w="1300" w:type="dxa"/>
            <w:noWrap w:val="0"/>
            <w:vAlign w:val="center"/>
          </w:tcPr>
          <w:p w14:paraId="3C839073">
            <w:pPr>
              <w:pStyle w:val="7"/>
              <w:spacing w:line="360" w:lineRule="exact"/>
              <w:jc w:val="center"/>
              <w:rPr>
                <w:b/>
                <w:bCs/>
                <w:color w:val="auto"/>
                <w:sz w:val="21"/>
                <w:szCs w:val="21"/>
              </w:rPr>
            </w:pPr>
            <w:r>
              <w:rPr>
                <w:rFonts w:hint="eastAsia"/>
                <w:b/>
                <w:bCs/>
                <w:color w:val="auto"/>
                <w:sz w:val="21"/>
                <w:szCs w:val="21"/>
              </w:rPr>
              <w:t>教学目标</w:t>
            </w:r>
          </w:p>
        </w:tc>
        <w:tc>
          <w:tcPr>
            <w:tcW w:w="6331" w:type="dxa"/>
            <w:noWrap w:val="0"/>
            <w:vAlign w:val="center"/>
          </w:tcPr>
          <w:p w14:paraId="17DC0A58">
            <w:pPr>
              <w:pStyle w:val="7"/>
              <w:spacing w:line="360" w:lineRule="exact"/>
              <w:jc w:val="both"/>
              <w:rPr>
                <w:rFonts w:ascii="仿宋" w:hAnsi="仿宋" w:eastAsia="仿宋" w:cs="仿宋"/>
                <w:color w:val="auto"/>
                <w:sz w:val="24"/>
              </w:rPr>
            </w:pPr>
            <w:r>
              <w:rPr>
                <w:rFonts w:hint="eastAsia" w:ascii="仿宋" w:hAnsi="仿宋" w:eastAsia="仿宋" w:cs="仿宋"/>
                <w:color w:val="auto"/>
                <w:sz w:val="24"/>
              </w:rPr>
              <w:t>目标设计恰当，符合课程要求、学科特点和学生实际；</w:t>
            </w:r>
            <w:r>
              <w:rPr>
                <w:rFonts w:hint="eastAsia" w:ascii="仿宋" w:hAnsi="仿宋" w:eastAsia="仿宋" w:cs="仿宋"/>
                <w:color w:val="auto"/>
                <w:sz w:val="24"/>
                <w:lang w:val="en-US"/>
              </w:rPr>
              <w:t>目标</w:t>
            </w:r>
            <w:r>
              <w:rPr>
                <w:rFonts w:hint="eastAsia" w:ascii="仿宋" w:hAnsi="仿宋" w:eastAsia="仿宋" w:cs="仿宋"/>
                <w:color w:val="auto"/>
                <w:sz w:val="24"/>
              </w:rPr>
              <w:t>具体、可观察、可测评、可达成；思政目标无缝对接知识、能力目标。</w:t>
            </w:r>
          </w:p>
        </w:tc>
        <w:tc>
          <w:tcPr>
            <w:tcW w:w="1109" w:type="dxa"/>
            <w:noWrap w:val="0"/>
            <w:vAlign w:val="center"/>
          </w:tcPr>
          <w:p w14:paraId="07AA8FB0">
            <w:pPr>
              <w:pStyle w:val="7"/>
              <w:spacing w:line="360" w:lineRule="exact"/>
              <w:jc w:val="center"/>
              <w:rPr>
                <w:rFonts w:ascii="仿宋" w:hAnsi="仿宋" w:eastAsia="仿宋" w:cs="仿宋"/>
                <w:color w:val="auto"/>
                <w:sz w:val="24"/>
              </w:rPr>
            </w:pPr>
            <w:r>
              <w:rPr>
                <w:rFonts w:hint="eastAsia" w:ascii="仿宋" w:hAnsi="仿宋" w:eastAsia="仿宋" w:cs="仿宋"/>
                <w:color w:val="auto"/>
                <w:sz w:val="24"/>
              </w:rPr>
              <w:t>10</w:t>
            </w:r>
          </w:p>
        </w:tc>
      </w:tr>
      <w:tr w14:paraId="640BBB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2" w:hRule="atLeast"/>
        </w:trPr>
        <w:tc>
          <w:tcPr>
            <w:tcW w:w="1300" w:type="dxa"/>
            <w:noWrap w:val="0"/>
            <w:vAlign w:val="center"/>
          </w:tcPr>
          <w:p w14:paraId="7269C806">
            <w:pPr>
              <w:pStyle w:val="7"/>
              <w:spacing w:line="360" w:lineRule="exact"/>
              <w:jc w:val="center"/>
              <w:rPr>
                <w:b/>
                <w:bCs/>
                <w:color w:val="auto"/>
                <w:sz w:val="21"/>
                <w:szCs w:val="21"/>
              </w:rPr>
            </w:pPr>
            <w:r>
              <w:rPr>
                <w:rFonts w:hint="eastAsia"/>
                <w:b/>
                <w:bCs/>
                <w:color w:val="auto"/>
                <w:sz w:val="21"/>
                <w:szCs w:val="21"/>
              </w:rPr>
              <w:t>教学评价</w:t>
            </w:r>
          </w:p>
        </w:tc>
        <w:tc>
          <w:tcPr>
            <w:tcW w:w="6331" w:type="dxa"/>
            <w:noWrap w:val="0"/>
            <w:vAlign w:val="center"/>
          </w:tcPr>
          <w:p w14:paraId="5D29BD11">
            <w:pPr>
              <w:pStyle w:val="7"/>
              <w:spacing w:line="360" w:lineRule="exact"/>
              <w:jc w:val="both"/>
              <w:rPr>
                <w:rFonts w:ascii="仿宋" w:hAnsi="仿宋" w:eastAsia="仿宋" w:cs="仿宋"/>
                <w:color w:val="auto"/>
                <w:sz w:val="24"/>
              </w:rPr>
            </w:pPr>
            <w:r>
              <w:rPr>
                <w:rFonts w:hint="eastAsia" w:ascii="仿宋" w:hAnsi="仿宋" w:eastAsia="仿宋" w:cs="仿宋"/>
                <w:color w:val="auto"/>
                <w:sz w:val="24"/>
              </w:rPr>
              <w:t>评价主体多元；注重过程；提问、课堂观察、作业、问卷、访谈等评价方法恰当，引导、激励学生学习。</w:t>
            </w:r>
          </w:p>
        </w:tc>
        <w:tc>
          <w:tcPr>
            <w:tcW w:w="1109" w:type="dxa"/>
            <w:noWrap w:val="0"/>
            <w:vAlign w:val="center"/>
          </w:tcPr>
          <w:p w14:paraId="37CD6375">
            <w:pPr>
              <w:pStyle w:val="7"/>
              <w:spacing w:line="360" w:lineRule="exact"/>
              <w:jc w:val="center"/>
              <w:rPr>
                <w:rFonts w:ascii="仿宋" w:hAnsi="仿宋" w:eastAsia="仿宋" w:cs="仿宋"/>
                <w:color w:val="auto"/>
                <w:sz w:val="24"/>
              </w:rPr>
            </w:pPr>
            <w:r>
              <w:rPr>
                <w:rFonts w:hint="eastAsia" w:ascii="仿宋" w:hAnsi="仿宋" w:eastAsia="仿宋" w:cs="仿宋"/>
                <w:color w:val="auto"/>
                <w:sz w:val="24"/>
              </w:rPr>
              <w:t>5</w:t>
            </w:r>
          </w:p>
        </w:tc>
      </w:tr>
      <w:tr w14:paraId="4AFAB8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7" w:hRule="atLeast"/>
        </w:trPr>
        <w:tc>
          <w:tcPr>
            <w:tcW w:w="1300" w:type="dxa"/>
            <w:noWrap w:val="0"/>
            <w:vAlign w:val="center"/>
          </w:tcPr>
          <w:p w14:paraId="60B27003">
            <w:pPr>
              <w:pStyle w:val="7"/>
              <w:spacing w:line="360" w:lineRule="exact"/>
              <w:jc w:val="center"/>
              <w:rPr>
                <w:b/>
                <w:bCs/>
                <w:color w:val="auto"/>
                <w:sz w:val="21"/>
                <w:szCs w:val="21"/>
              </w:rPr>
            </w:pPr>
            <w:r>
              <w:rPr>
                <w:rFonts w:hint="eastAsia"/>
                <w:b/>
                <w:bCs/>
                <w:color w:val="auto"/>
                <w:sz w:val="21"/>
                <w:szCs w:val="21"/>
              </w:rPr>
              <w:t>教学反思</w:t>
            </w:r>
          </w:p>
        </w:tc>
        <w:tc>
          <w:tcPr>
            <w:tcW w:w="6331" w:type="dxa"/>
            <w:noWrap w:val="0"/>
            <w:vAlign w:val="center"/>
          </w:tcPr>
          <w:p w14:paraId="23D3DFF0">
            <w:pPr>
              <w:pStyle w:val="7"/>
              <w:spacing w:line="360" w:lineRule="exact"/>
              <w:jc w:val="both"/>
              <w:rPr>
                <w:rFonts w:ascii="仿宋" w:hAnsi="仿宋" w:eastAsia="仿宋" w:cs="仿宋"/>
                <w:color w:val="auto"/>
                <w:sz w:val="24"/>
              </w:rPr>
            </w:pPr>
            <w:r>
              <w:rPr>
                <w:rFonts w:hint="eastAsia" w:ascii="仿宋" w:hAnsi="仿宋" w:eastAsia="仿宋" w:cs="仿宋"/>
                <w:color w:val="auto"/>
                <w:sz w:val="24"/>
              </w:rPr>
              <w:t>能够对教学内容（包含课程思政内容）和</w:t>
            </w:r>
            <w:r>
              <w:rPr>
                <w:rFonts w:hint="eastAsia" w:ascii="仿宋" w:hAnsi="仿宋" w:eastAsia="仿宋" w:cs="仿宋"/>
                <w:color w:val="auto"/>
                <w:sz w:val="24"/>
                <w:lang w:val="en-US"/>
              </w:rPr>
              <w:t>教学</w:t>
            </w:r>
            <w:r>
              <w:rPr>
                <w:rFonts w:hint="eastAsia" w:ascii="仿宋" w:hAnsi="仿宋" w:eastAsia="仿宋" w:cs="仿宋"/>
                <w:color w:val="auto"/>
                <w:sz w:val="24"/>
              </w:rPr>
              <w:t>过程进行梳理和反思，并做到适时调整，能够提出改进教学的方法。</w:t>
            </w:r>
          </w:p>
        </w:tc>
        <w:tc>
          <w:tcPr>
            <w:tcW w:w="1109" w:type="dxa"/>
            <w:noWrap w:val="0"/>
            <w:vAlign w:val="center"/>
          </w:tcPr>
          <w:p w14:paraId="06410769">
            <w:pPr>
              <w:pStyle w:val="7"/>
              <w:spacing w:line="360" w:lineRule="exact"/>
              <w:jc w:val="center"/>
              <w:rPr>
                <w:rFonts w:ascii="仿宋" w:hAnsi="仿宋" w:eastAsia="仿宋" w:cs="仿宋"/>
                <w:color w:val="auto"/>
                <w:sz w:val="24"/>
              </w:rPr>
            </w:pPr>
            <w:r>
              <w:rPr>
                <w:rFonts w:hint="eastAsia" w:ascii="仿宋" w:hAnsi="仿宋" w:eastAsia="仿宋" w:cs="仿宋"/>
                <w:color w:val="auto"/>
                <w:sz w:val="24"/>
              </w:rPr>
              <w:t>5</w:t>
            </w:r>
          </w:p>
        </w:tc>
      </w:tr>
      <w:tr w14:paraId="5D8413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2" w:hRule="atLeast"/>
        </w:trPr>
        <w:tc>
          <w:tcPr>
            <w:tcW w:w="1300" w:type="dxa"/>
            <w:noWrap w:val="0"/>
            <w:vAlign w:val="center"/>
          </w:tcPr>
          <w:p w14:paraId="435E3941">
            <w:pPr>
              <w:pStyle w:val="7"/>
              <w:spacing w:line="360" w:lineRule="exact"/>
              <w:jc w:val="center"/>
              <w:rPr>
                <w:b/>
                <w:bCs/>
                <w:color w:val="auto"/>
                <w:sz w:val="21"/>
                <w:szCs w:val="21"/>
              </w:rPr>
            </w:pPr>
            <w:r>
              <w:rPr>
                <w:rFonts w:hint="eastAsia"/>
                <w:b/>
                <w:bCs/>
                <w:color w:val="auto"/>
                <w:sz w:val="21"/>
                <w:szCs w:val="21"/>
              </w:rPr>
              <w:t>教材分析</w:t>
            </w:r>
          </w:p>
        </w:tc>
        <w:tc>
          <w:tcPr>
            <w:tcW w:w="6331" w:type="dxa"/>
            <w:noWrap w:val="0"/>
            <w:vAlign w:val="center"/>
          </w:tcPr>
          <w:p w14:paraId="5AF703B1">
            <w:pPr>
              <w:pStyle w:val="7"/>
              <w:spacing w:line="360" w:lineRule="exact"/>
              <w:jc w:val="both"/>
              <w:rPr>
                <w:rFonts w:ascii="仿宋" w:hAnsi="仿宋" w:eastAsia="仿宋" w:cs="仿宋"/>
                <w:color w:val="auto"/>
                <w:sz w:val="24"/>
              </w:rPr>
            </w:pPr>
            <w:r>
              <w:rPr>
                <w:rFonts w:hint="eastAsia" w:ascii="仿宋" w:hAnsi="仿宋" w:eastAsia="仿宋" w:cs="仿宋"/>
                <w:color w:val="auto"/>
                <w:sz w:val="24"/>
              </w:rPr>
              <w:t>对本设计涉及到的教材内容及其作用作简明扼要分析，为教学思路、重难点等内容的确定提供依据。</w:t>
            </w:r>
          </w:p>
        </w:tc>
        <w:tc>
          <w:tcPr>
            <w:tcW w:w="1109" w:type="dxa"/>
            <w:noWrap w:val="0"/>
            <w:vAlign w:val="center"/>
          </w:tcPr>
          <w:p w14:paraId="49B2ADB2">
            <w:pPr>
              <w:pStyle w:val="7"/>
              <w:spacing w:line="360" w:lineRule="exact"/>
              <w:jc w:val="center"/>
              <w:rPr>
                <w:rFonts w:ascii="仿宋" w:hAnsi="仿宋" w:eastAsia="仿宋" w:cs="仿宋"/>
                <w:color w:val="auto"/>
                <w:sz w:val="24"/>
              </w:rPr>
            </w:pPr>
            <w:r>
              <w:rPr>
                <w:rFonts w:hint="eastAsia" w:ascii="仿宋" w:hAnsi="仿宋" w:eastAsia="仿宋" w:cs="仿宋"/>
                <w:color w:val="auto"/>
                <w:sz w:val="24"/>
              </w:rPr>
              <w:t>5</w:t>
            </w:r>
          </w:p>
        </w:tc>
      </w:tr>
      <w:tr w14:paraId="5A6D0F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1300" w:type="dxa"/>
            <w:noWrap w:val="0"/>
            <w:vAlign w:val="center"/>
          </w:tcPr>
          <w:p w14:paraId="20468005">
            <w:pPr>
              <w:pStyle w:val="7"/>
              <w:spacing w:line="360" w:lineRule="exact"/>
              <w:jc w:val="center"/>
              <w:rPr>
                <w:b/>
                <w:bCs/>
                <w:color w:val="auto"/>
                <w:sz w:val="21"/>
                <w:szCs w:val="21"/>
              </w:rPr>
            </w:pPr>
            <w:r>
              <w:rPr>
                <w:rFonts w:hint="eastAsia"/>
                <w:b/>
                <w:bCs/>
                <w:color w:val="auto"/>
                <w:sz w:val="21"/>
                <w:szCs w:val="21"/>
              </w:rPr>
              <w:t>学情分析</w:t>
            </w:r>
          </w:p>
        </w:tc>
        <w:tc>
          <w:tcPr>
            <w:tcW w:w="6331" w:type="dxa"/>
            <w:noWrap w:val="0"/>
            <w:vAlign w:val="center"/>
          </w:tcPr>
          <w:p w14:paraId="47986623">
            <w:pPr>
              <w:pStyle w:val="7"/>
              <w:spacing w:line="360" w:lineRule="exact"/>
              <w:jc w:val="both"/>
              <w:rPr>
                <w:rFonts w:ascii="仿宋" w:hAnsi="仿宋" w:eastAsia="仿宋" w:cs="仿宋"/>
                <w:color w:val="auto"/>
                <w:sz w:val="24"/>
              </w:rPr>
            </w:pPr>
            <w:r>
              <w:rPr>
                <w:rFonts w:hint="eastAsia" w:ascii="仿宋" w:hAnsi="仿宋" w:eastAsia="仿宋" w:cs="仿宋"/>
                <w:color w:val="auto"/>
                <w:sz w:val="24"/>
              </w:rPr>
              <w:t>对学生学科知识、认知特征和情感态度等内容进行精准分析。</w:t>
            </w:r>
          </w:p>
        </w:tc>
        <w:tc>
          <w:tcPr>
            <w:tcW w:w="1109" w:type="dxa"/>
            <w:noWrap w:val="0"/>
            <w:vAlign w:val="center"/>
          </w:tcPr>
          <w:p w14:paraId="43B53544">
            <w:pPr>
              <w:pStyle w:val="7"/>
              <w:spacing w:line="360" w:lineRule="exact"/>
              <w:jc w:val="center"/>
              <w:rPr>
                <w:rFonts w:ascii="仿宋" w:hAnsi="仿宋" w:eastAsia="仿宋" w:cs="仿宋"/>
                <w:color w:val="auto"/>
                <w:sz w:val="24"/>
              </w:rPr>
            </w:pPr>
            <w:r>
              <w:rPr>
                <w:rFonts w:hint="eastAsia" w:ascii="仿宋" w:hAnsi="仿宋" w:eastAsia="仿宋" w:cs="仿宋"/>
                <w:color w:val="auto"/>
                <w:sz w:val="24"/>
              </w:rPr>
              <w:t>5</w:t>
            </w:r>
          </w:p>
        </w:tc>
      </w:tr>
      <w:tr w14:paraId="03939F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0" w:hRule="atLeast"/>
        </w:trPr>
        <w:tc>
          <w:tcPr>
            <w:tcW w:w="1300" w:type="dxa"/>
            <w:noWrap w:val="0"/>
            <w:vAlign w:val="center"/>
          </w:tcPr>
          <w:p w14:paraId="3E777C89">
            <w:pPr>
              <w:pStyle w:val="7"/>
              <w:spacing w:line="360" w:lineRule="exact"/>
              <w:jc w:val="center"/>
              <w:rPr>
                <w:b/>
                <w:bCs/>
                <w:color w:val="auto"/>
                <w:sz w:val="21"/>
                <w:szCs w:val="21"/>
              </w:rPr>
            </w:pPr>
            <w:r>
              <w:rPr>
                <w:rFonts w:hint="eastAsia"/>
                <w:b/>
                <w:bCs/>
                <w:color w:val="auto"/>
                <w:sz w:val="21"/>
                <w:szCs w:val="21"/>
              </w:rPr>
              <w:t>自主学习</w:t>
            </w:r>
          </w:p>
        </w:tc>
        <w:tc>
          <w:tcPr>
            <w:tcW w:w="6331" w:type="dxa"/>
            <w:noWrap w:val="0"/>
            <w:vAlign w:val="center"/>
          </w:tcPr>
          <w:p w14:paraId="052501E8">
            <w:pPr>
              <w:pStyle w:val="7"/>
              <w:spacing w:line="360" w:lineRule="exact"/>
              <w:jc w:val="both"/>
              <w:rPr>
                <w:rFonts w:ascii="仿宋" w:hAnsi="仿宋" w:eastAsia="仿宋" w:cs="仿宋"/>
                <w:color w:val="auto"/>
                <w:sz w:val="24"/>
              </w:rPr>
            </w:pPr>
            <w:r>
              <w:rPr>
                <w:rFonts w:hint="eastAsia" w:ascii="仿宋" w:hAnsi="仿宋" w:eastAsia="仿宋" w:cs="仿宋"/>
                <w:color w:val="auto"/>
                <w:sz w:val="24"/>
              </w:rPr>
              <w:t>为学生搭建课外学习平台，引导学生进行自主学习和自主评价。</w:t>
            </w:r>
          </w:p>
        </w:tc>
        <w:tc>
          <w:tcPr>
            <w:tcW w:w="1109" w:type="dxa"/>
            <w:noWrap w:val="0"/>
            <w:vAlign w:val="center"/>
          </w:tcPr>
          <w:p w14:paraId="7670CE0A">
            <w:pPr>
              <w:pStyle w:val="7"/>
              <w:spacing w:line="360" w:lineRule="exact"/>
              <w:jc w:val="center"/>
              <w:rPr>
                <w:rFonts w:ascii="仿宋" w:hAnsi="仿宋" w:eastAsia="仿宋" w:cs="仿宋"/>
                <w:color w:val="auto"/>
                <w:sz w:val="24"/>
              </w:rPr>
            </w:pPr>
            <w:r>
              <w:rPr>
                <w:rFonts w:hint="eastAsia" w:ascii="仿宋" w:hAnsi="仿宋" w:eastAsia="仿宋" w:cs="仿宋"/>
                <w:color w:val="auto"/>
                <w:sz w:val="24"/>
              </w:rPr>
              <w:t>5</w:t>
            </w:r>
          </w:p>
        </w:tc>
      </w:tr>
      <w:tr w14:paraId="665148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1300" w:type="dxa"/>
            <w:noWrap w:val="0"/>
            <w:vAlign w:val="center"/>
          </w:tcPr>
          <w:p w14:paraId="62D4396E">
            <w:pPr>
              <w:pStyle w:val="7"/>
              <w:spacing w:line="360" w:lineRule="exact"/>
              <w:jc w:val="center"/>
              <w:rPr>
                <w:b/>
                <w:bCs/>
                <w:color w:val="auto"/>
                <w:sz w:val="21"/>
                <w:szCs w:val="21"/>
              </w:rPr>
            </w:pPr>
            <w:r>
              <w:rPr>
                <w:rFonts w:hint="eastAsia"/>
                <w:b/>
                <w:bCs/>
                <w:color w:val="auto"/>
                <w:sz w:val="21"/>
                <w:szCs w:val="21"/>
              </w:rPr>
              <w:t>教学资源</w:t>
            </w:r>
          </w:p>
        </w:tc>
        <w:tc>
          <w:tcPr>
            <w:tcW w:w="6331" w:type="dxa"/>
            <w:noWrap w:val="0"/>
            <w:vAlign w:val="center"/>
          </w:tcPr>
          <w:p w14:paraId="45CE2631">
            <w:pPr>
              <w:pStyle w:val="7"/>
              <w:spacing w:line="360" w:lineRule="exact"/>
              <w:jc w:val="both"/>
              <w:rPr>
                <w:rFonts w:ascii="仿宋" w:hAnsi="仿宋" w:eastAsia="仿宋" w:cs="仿宋"/>
                <w:color w:val="auto"/>
                <w:sz w:val="24"/>
                <w:lang w:val="en-US"/>
              </w:rPr>
            </w:pPr>
            <w:r>
              <w:rPr>
                <w:rFonts w:hint="eastAsia" w:ascii="仿宋" w:hAnsi="仿宋" w:eastAsia="仿宋" w:cs="仿宋"/>
                <w:color w:val="auto"/>
                <w:sz w:val="24"/>
              </w:rPr>
              <w:t>教学资源推介面广、材料丰富（包含课程思政内容）。</w:t>
            </w:r>
          </w:p>
        </w:tc>
        <w:tc>
          <w:tcPr>
            <w:tcW w:w="1109" w:type="dxa"/>
            <w:noWrap w:val="0"/>
            <w:vAlign w:val="center"/>
          </w:tcPr>
          <w:p w14:paraId="78E94CF1">
            <w:pPr>
              <w:pStyle w:val="7"/>
              <w:spacing w:line="360" w:lineRule="exact"/>
              <w:jc w:val="center"/>
              <w:rPr>
                <w:rFonts w:ascii="仿宋" w:hAnsi="仿宋" w:eastAsia="仿宋" w:cs="仿宋"/>
                <w:color w:val="auto"/>
                <w:sz w:val="24"/>
              </w:rPr>
            </w:pPr>
            <w:r>
              <w:rPr>
                <w:rFonts w:hint="eastAsia" w:ascii="仿宋" w:hAnsi="仿宋" w:eastAsia="仿宋" w:cs="仿宋"/>
                <w:color w:val="auto"/>
                <w:sz w:val="24"/>
              </w:rPr>
              <w:t>5</w:t>
            </w:r>
          </w:p>
        </w:tc>
      </w:tr>
    </w:tbl>
    <w:p w14:paraId="598DC762">
      <w:pPr>
        <w:ind w:firstLine="480" w:firstLineChars="200"/>
        <w:jc w:val="both"/>
        <w:rPr>
          <w:rFonts w:ascii="仿宋" w:hAnsi="仿宋" w:eastAsia="仿宋" w:cs="仿宋"/>
          <w:color w:val="auto"/>
          <w:sz w:val="24"/>
        </w:rPr>
        <w:sectPr>
          <w:footerReference r:id="rId3" w:type="default"/>
          <w:pgSz w:w="11910" w:h="16840"/>
          <w:pgMar w:top="1440" w:right="1576" w:bottom="1440" w:left="1576" w:header="0" w:footer="1477" w:gutter="0"/>
          <w:pgNumType w:fmt="decimal"/>
          <w:cols w:space="720" w:num="1"/>
        </w:sectPr>
      </w:pPr>
    </w:p>
    <w:p w14:paraId="5B877383">
      <w:pPr>
        <w:pStyle w:val="3"/>
        <w:spacing w:before="35" w:after="14"/>
        <w:jc w:val="both"/>
        <w:rPr>
          <w:rFonts w:ascii="楷体" w:hAnsi="楷体" w:eastAsia="楷体" w:cs="楷体"/>
          <w:color w:val="auto"/>
        </w:rPr>
      </w:pPr>
      <w:r>
        <w:rPr>
          <w:rFonts w:hint="eastAsia" w:ascii="楷体" w:hAnsi="楷体" w:eastAsia="楷体" w:cs="楷体"/>
          <w:color w:val="auto"/>
        </w:rPr>
        <w:t>（二）现场展示评分标准（100分）</w:t>
      </w:r>
    </w:p>
    <w:tbl>
      <w:tblPr>
        <w:tblStyle w:val="5"/>
        <w:tblW w:w="8770" w:type="dxa"/>
        <w:tblInd w:w="-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08"/>
        <w:gridCol w:w="6562"/>
        <w:gridCol w:w="900"/>
      </w:tblGrid>
      <w:tr w14:paraId="6812F2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0" w:hRule="atLeast"/>
        </w:trPr>
        <w:tc>
          <w:tcPr>
            <w:tcW w:w="1308" w:type="dxa"/>
            <w:noWrap w:val="0"/>
            <w:vAlign w:val="center"/>
          </w:tcPr>
          <w:p w14:paraId="7828623D">
            <w:pPr>
              <w:pStyle w:val="7"/>
              <w:spacing w:line="360" w:lineRule="exact"/>
              <w:jc w:val="center"/>
              <w:rPr>
                <w:b/>
                <w:color w:val="auto"/>
                <w:sz w:val="24"/>
              </w:rPr>
            </w:pPr>
            <w:r>
              <w:rPr>
                <w:rFonts w:hint="eastAsia"/>
                <w:b/>
                <w:color w:val="auto"/>
                <w:sz w:val="24"/>
              </w:rPr>
              <w:t>评价指标</w:t>
            </w:r>
          </w:p>
        </w:tc>
        <w:tc>
          <w:tcPr>
            <w:tcW w:w="6562" w:type="dxa"/>
            <w:noWrap w:val="0"/>
            <w:vAlign w:val="center"/>
          </w:tcPr>
          <w:p w14:paraId="01D4E4C2">
            <w:pPr>
              <w:pStyle w:val="7"/>
              <w:spacing w:line="360" w:lineRule="exact"/>
              <w:jc w:val="center"/>
              <w:rPr>
                <w:b/>
                <w:color w:val="auto"/>
                <w:sz w:val="24"/>
              </w:rPr>
            </w:pPr>
            <w:r>
              <w:rPr>
                <w:rFonts w:hint="eastAsia"/>
                <w:b/>
                <w:color w:val="auto"/>
                <w:sz w:val="24"/>
              </w:rPr>
              <w:t>具体内容</w:t>
            </w:r>
          </w:p>
        </w:tc>
        <w:tc>
          <w:tcPr>
            <w:tcW w:w="900" w:type="dxa"/>
            <w:noWrap w:val="0"/>
            <w:vAlign w:val="center"/>
          </w:tcPr>
          <w:p w14:paraId="107F9D8C">
            <w:pPr>
              <w:pStyle w:val="7"/>
              <w:spacing w:line="360" w:lineRule="exact"/>
              <w:jc w:val="center"/>
              <w:rPr>
                <w:b/>
                <w:color w:val="auto"/>
                <w:sz w:val="24"/>
              </w:rPr>
            </w:pPr>
            <w:r>
              <w:rPr>
                <w:rFonts w:hint="eastAsia"/>
                <w:b/>
                <w:color w:val="auto"/>
                <w:sz w:val="24"/>
              </w:rPr>
              <w:t>分值</w:t>
            </w:r>
          </w:p>
        </w:tc>
      </w:tr>
      <w:tr w14:paraId="7E0C0D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1" w:hRule="atLeast"/>
        </w:trPr>
        <w:tc>
          <w:tcPr>
            <w:tcW w:w="1308" w:type="dxa"/>
            <w:vMerge w:val="restart"/>
            <w:noWrap w:val="0"/>
            <w:vAlign w:val="center"/>
          </w:tcPr>
          <w:p w14:paraId="4B17CA69">
            <w:pPr>
              <w:pStyle w:val="7"/>
              <w:spacing w:line="360" w:lineRule="exact"/>
              <w:jc w:val="center"/>
              <w:rPr>
                <w:b/>
                <w:bCs/>
                <w:color w:val="auto"/>
                <w:sz w:val="21"/>
                <w:szCs w:val="21"/>
              </w:rPr>
            </w:pPr>
            <w:r>
              <w:rPr>
                <w:rFonts w:hint="eastAsia"/>
                <w:b/>
                <w:bCs/>
                <w:color w:val="auto"/>
                <w:sz w:val="21"/>
                <w:szCs w:val="21"/>
              </w:rPr>
              <w:t>教学实施</w:t>
            </w:r>
          </w:p>
        </w:tc>
        <w:tc>
          <w:tcPr>
            <w:tcW w:w="6562" w:type="dxa"/>
            <w:noWrap w:val="0"/>
            <w:vAlign w:val="center"/>
          </w:tcPr>
          <w:p w14:paraId="188CBA10">
            <w:pPr>
              <w:pStyle w:val="7"/>
              <w:spacing w:line="360" w:lineRule="exact"/>
              <w:jc w:val="both"/>
              <w:rPr>
                <w:rFonts w:ascii="仿宋" w:hAnsi="仿宋" w:eastAsia="仿宋" w:cs="仿宋"/>
                <w:color w:val="auto"/>
                <w:sz w:val="24"/>
              </w:rPr>
            </w:pPr>
            <w:r>
              <w:rPr>
                <w:rFonts w:hint="eastAsia" w:ascii="仿宋" w:hAnsi="仿宋" w:eastAsia="仿宋" w:cs="仿宋"/>
                <w:color w:val="auto"/>
                <w:sz w:val="24"/>
              </w:rPr>
              <w:t>善于提炼课程蕴含的育人因素，能将思想政治教育和专业知识传授融合，教学内容呈现恰当，教学活动组织合理。</w:t>
            </w:r>
          </w:p>
        </w:tc>
        <w:tc>
          <w:tcPr>
            <w:tcW w:w="900" w:type="dxa"/>
            <w:noWrap w:val="0"/>
            <w:vAlign w:val="center"/>
          </w:tcPr>
          <w:p w14:paraId="6CE8066E">
            <w:pPr>
              <w:pStyle w:val="7"/>
              <w:spacing w:line="360" w:lineRule="exact"/>
              <w:jc w:val="center"/>
              <w:rPr>
                <w:rFonts w:ascii="仿宋" w:hAnsi="仿宋" w:eastAsia="仿宋" w:cs="仿宋"/>
                <w:color w:val="auto"/>
                <w:sz w:val="24"/>
              </w:rPr>
            </w:pPr>
            <w:r>
              <w:rPr>
                <w:rFonts w:hint="eastAsia" w:ascii="仿宋" w:hAnsi="仿宋" w:eastAsia="仿宋" w:cs="仿宋"/>
                <w:color w:val="auto"/>
                <w:sz w:val="24"/>
              </w:rPr>
              <w:t>20</w:t>
            </w:r>
          </w:p>
        </w:tc>
      </w:tr>
      <w:tr w14:paraId="5063B5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5" w:hRule="atLeast"/>
        </w:trPr>
        <w:tc>
          <w:tcPr>
            <w:tcW w:w="1308" w:type="dxa"/>
            <w:vMerge w:val="continue"/>
            <w:tcBorders>
              <w:top w:val="nil"/>
            </w:tcBorders>
            <w:noWrap w:val="0"/>
            <w:vAlign w:val="center"/>
          </w:tcPr>
          <w:p w14:paraId="79D4C1FC">
            <w:pPr>
              <w:spacing w:line="360" w:lineRule="exact"/>
              <w:ind w:firstLine="422" w:firstLineChars="200"/>
              <w:jc w:val="center"/>
              <w:rPr>
                <w:b/>
                <w:bCs/>
                <w:color w:val="auto"/>
                <w:sz w:val="21"/>
                <w:szCs w:val="21"/>
              </w:rPr>
            </w:pPr>
          </w:p>
        </w:tc>
        <w:tc>
          <w:tcPr>
            <w:tcW w:w="6562" w:type="dxa"/>
            <w:noWrap w:val="0"/>
            <w:vAlign w:val="center"/>
          </w:tcPr>
          <w:p w14:paraId="0FD17D49">
            <w:pPr>
              <w:pStyle w:val="7"/>
              <w:spacing w:line="360" w:lineRule="exact"/>
              <w:jc w:val="both"/>
              <w:rPr>
                <w:rFonts w:ascii="仿宋" w:hAnsi="仿宋" w:eastAsia="仿宋" w:cs="仿宋"/>
                <w:color w:val="auto"/>
                <w:sz w:val="24"/>
              </w:rPr>
            </w:pPr>
            <w:r>
              <w:rPr>
                <w:rFonts w:hint="eastAsia" w:ascii="仿宋" w:hAnsi="仿宋" w:eastAsia="仿宋" w:cs="仿宋"/>
                <w:color w:val="auto"/>
                <w:sz w:val="24"/>
              </w:rPr>
              <w:t>善于综合运用现代信息技术手段和数字资源把思政教育巧妙渗透教学全过程，教学方法运用恰当，教学策略使用有效。</w:t>
            </w:r>
          </w:p>
        </w:tc>
        <w:tc>
          <w:tcPr>
            <w:tcW w:w="900" w:type="dxa"/>
            <w:noWrap w:val="0"/>
            <w:vAlign w:val="center"/>
          </w:tcPr>
          <w:p w14:paraId="0A3263AC">
            <w:pPr>
              <w:pStyle w:val="7"/>
              <w:spacing w:line="360" w:lineRule="exact"/>
              <w:jc w:val="center"/>
              <w:rPr>
                <w:rFonts w:ascii="仿宋" w:hAnsi="仿宋" w:eastAsia="仿宋" w:cs="仿宋"/>
                <w:color w:val="auto"/>
                <w:sz w:val="24"/>
              </w:rPr>
            </w:pPr>
            <w:r>
              <w:rPr>
                <w:rFonts w:hint="eastAsia" w:ascii="仿宋" w:hAnsi="仿宋" w:eastAsia="仿宋" w:cs="仿宋"/>
                <w:color w:val="auto"/>
                <w:sz w:val="24"/>
              </w:rPr>
              <w:t>15</w:t>
            </w:r>
          </w:p>
        </w:tc>
      </w:tr>
      <w:tr w14:paraId="552491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1308" w:type="dxa"/>
            <w:vMerge w:val="continue"/>
            <w:tcBorders>
              <w:top w:val="nil"/>
            </w:tcBorders>
            <w:noWrap w:val="0"/>
            <w:vAlign w:val="center"/>
          </w:tcPr>
          <w:p w14:paraId="20EFEBD9">
            <w:pPr>
              <w:spacing w:line="360" w:lineRule="exact"/>
              <w:ind w:firstLine="422" w:firstLineChars="200"/>
              <w:jc w:val="center"/>
              <w:rPr>
                <w:b/>
                <w:bCs/>
                <w:color w:val="auto"/>
                <w:sz w:val="21"/>
                <w:szCs w:val="21"/>
              </w:rPr>
            </w:pPr>
          </w:p>
        </w:tc>
        <w:tc>
          <w:tcPr>
            <w:tcW w:w="6562" w:type="dxa"/>
            <w:noWrap w:val="0"/>
            <w:vAlign w:val="center"/>
          </w:tcPr>
          <w:p w14:paraId="79AACBA9">
            <w:pPr>
              <w:pStyle w:val="7"/>
              <w:spacing w:line="360" w:lineRule="exact"/>
              <w:jc w:val="both"/>
              <w:rPr>
                <w:rFonts w:ascii="仿宋" w:hAnsi="仿宋" w:eastAsia="仿宋" w:cs="仿宋"/>
                <w:color w:val="auto"/>
                <w:sz w:val="24"/>
              </w:rPr>
            </w:pPr>
            <w:r>
              <w:rPr>
                <w:rFonts w:hint="eastAsia" w:ascii="仿宋" w:hAnsi="仿宋" w:eastAsia="仿宋" w:cs="仿宋"/>
                <w:color w:val="auto"/>
                <w:sz w:val="24"/>
              </w:rPr>
              <w:t>注重教学互动，突出学生主体地位，调动学生参与课堂积极性。</w:t>
            </w:r>
          </w:p>
        </w:tc>
        <w:tc>
          <w:tcPr>
            <w:tcW w:w="900" w:type="dxa"/>
            <w:noWrap w:val="0"/>
            <w:vAlign w:val="center"/>
          </w:tcPr>
          <w:p w14:paraId="0C26EADB">
            <w:pPr>
              <w:pStyle w:val="7"/>
              <w:spacing w:line="360" w:lineRule="exact"/>
              <w:jc w:val="center"/>
              <w:rPr>
                <w:rFonts w:ascii="仿宋" w:hAnsi="仿宋" w:eastAsia="仿宋" w:cs="仿宋"/>
                <w:color w:val="auto"/>
                <w:sz w:val="24"/>
              </w:rPr>
            </w:pPr>
            <w:r>
              <w:rPr>
                <w:rFonts w:hint="eastAsia" w:ascii="仿宋" w:hAnsi="仿宋" w:eastAsia="仿宋" w:cs="仿宋"/>
                <w:color w:val="auto"/>
                <w:sz w:val="24"/>
              </w:rPr>
              <w:t>10</w:t>
            </w:r>
          </w:p>
        </w:tc>
      </w:tr>
      <w:tr w14:paraId="20E299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1" w:hRule="atLeast"/>
        </w:trPr>
        <w:tc>
          <w:tcPr>
            <w:tcW w:w="1308" w:type="dxa"/>
            <w:vMerge w:val="restart"/>
            <w:noWrap w:val="0"/>
            <w:vAlign w:val="center"/>
          </w:tcPr>
          <w:p w14:paraId="0C9B2459">
            <w:pPr>
              <w:pStyle w:val="7"/>
              <w:spacing w:line="360" w:lineRule="exact"/>
              <w:jc w:val="center"/>
              <w:rPr>
                <w:b/>
                <w:bCs/>
                <w:color w:val="auto"/>
                <w:sz w:val="21"/>
                <w:szCs w:val="21"/>
              </w:rPr>
            </w:pPr>
            <w:r>
              <w:rPr>
                <w:rFonts w:hint="eastAsia"/>
                <w:b/>
                <w:bCs/>
                <w:color w:val="auto"/>
                <w:sz w:val="21"/>
                <w:szCs w:val="21"/>
              </w:rPr>
              <w:t>教学效果</w:t>
            </w:r>
          </w:p>
        </w:tc>
        <w:tc>
          <w:tcPr>
            <w:tcW w:w="6562" w:type="dxa"/>
            <w:noWrap w:val="0"/>
            <w:vAlign w:val="center"/>
          </w:tcPr>
          <w:p w14:paraId="69564DBC">
            <w:pPr>
              <w:pStyle w:val="7"/>
              <w:spacing w:line="360" w:lineRule="exact"/>
              <w:jc w:val="both"/>
              <w:rPr>
                <w:rFonts w:ascii="仿宋" w:hAnsi="仿宋" w:eastAsia="仿宋" w:cs="仿宋"/>
                <w:color w:val="auto"/>
                <w:sz w:val="24"/>
              </w:rPr>
            </w:pPr>
            <w:r>
              <w:rPr>
                <w:rFonts w:hint="eastAsia" w:ascii="仿宋" w:hAnsi="仿宋" w:eastAsia="仿宋" w:cs="仿宋"/>
                <w:color w:val="auto"/>
                <w:sz w:val="24"/>
              </w:rPr>
              <w:t>注重思想理论教育和价值引领，有效达成教学目标，效果明显。</w:t>
            </w:r>
          </w:p>
        </w:tc>
        <w:tc>
          <w:tcPr>
            <w:tcW w:w="900" w:type="dxa"/>
            <w:noWrap w:val="0"/>
            <w:vAlign w:val="center"/>
          </w:tcPr>
          <w:p w14:paraId="3E511ED7">
            <w:pPr>
              <w:pStyle w:val="7"/>
              <w:spacing w:line="360" w:lineRule="exact"/>
              <w:jc w:val="center"/>
              <w:rPr>
                <w:rFonts w:ascii="仿宋" w:hAnsi="仿宋" w:eastAsia="仿宋" w:cs="仿宋"/>
                <w:color w:val="auto"/>
                <w:sz w:val="24"/>
              </w:rPr>
            </w:pPr>
            <w:r>
              <w:rPr>
                <w:rFonts w:hint="eastAsia" w:ascii="仿宋" w:hAnsi="仿宋" w:eastAsia="仿宋" w:cs="仿宋"/>
                <w:color w:val="auto"/>
                <w:sz w:val="24"/>
              </w:rPr>
              <w:t>20</w:t>
            </w:r>
          </w:p>
        </w:tc>
      </w:tr>
      <w:tr w14:paraId="50C78C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0" w:hRule="atLeast"/>
        </w:trPr>
        <w:tc>
          <w:tcPr>
            <w:tcW w:w="1308" w:type="dxa"/>
            <w:vMerge w:val="continue"/>
            <w:tcBorders>
              <w:top w:val="nil"/>
            </w:tcBorders>
            <w:noWrap w:val="0"/>
            <w:vAlign w:val="center"/>
          </w:tcPr>
          <w:p w14:paraId="7BA1942C">
            <w:pPr>
              <w:spacing w:line="360" w:lineRule="exact"/>
              <w:ind w:firstLine="422" w:firstLineChars="200"/>
              <w:jc w:val="center"/>
              <w:rPr>
                <w:b/>
                <w:bCs/>
                <w:color w:val="auto"/>
                <w:sz w:val="21"/>
                <w:szCs w:val="21"/>
              </w:rPr>
            </w:pPr>
          </w:p>
        </w:tc>
        <w:tc>
          <w:tcPr>
            <w:tcW w:w="6562" w:type="dxa"/>
            <w:noWrap w:val="0"/>
            <w:vAlign w:val="center"/>
          </w:tcPr>
          <w:p w14:paraId="23086643">
            <w:pPr>
              <w:pStyle w:val="7"/>
              <w:spacing w:line="360" w:lineRule="exact"/>
              <w:jc w:val="both"/>
              <w:rPr>
                <w:rFonts w:ascii="仿宋" w:hAnsi="仿宋" w:eastAsia="仿宋" w:cs="仿宋"/>
                <w:color w:val="auto"/>
                <w:sz w:val="24"/>
              </w:rPr>
            </w:pPr>
            <w:r>
              <w:rPr>
                <w:rFonts w:hint="eastAsia" w:ascii="仿宋" w:hAnsi="仿宋" w:eastAsia="仿宋" w:cs="仿宋"/>
                <w:color w:val="auto"/>
                <w:sz w:val="24"/>
              </w:rPr>
              <w:t>课堂教学能结合课程特色挖掘育人因素，课堂实施成效好，特色鲜明，具有较强的示范性。</w:t>
            </w:r>
          </w:p>
        </w:tc>
        <w:tc>
          <w:tcPr>
            <w:tcW w:w="900" w:type="dxa"/>
            <w:noWrap w:val="0"/>
            <w:vAlign w:val="center"/>
          </w:tcPr>
          <w:p w14:paraId="41117533">
            <w:pPr>
              <w:pStyle w:val="7"/>
              <w:spacing w:line="360" w:lineRule="exact"/>
              <w:jc w:val="center"/>
              <w:rPr>
                <w:rFonts w:ascii="仿宋" w:hAnsi="仿宋" w:eastAsia="仿宋" w:cs="仿宋"/>
                <w:color w:val="auto"/>
                <w:sz w:val="24"/>
              </w:rPr>
            </w:pPr>
            <w:r>
              <w:rPr>
                <w:rFonts w:hint="eastAsia" w:ascii="仿宋" w:hAnsi="仿宋" w:eastAsia="仿宋" w:cs="仿宋"/>
                <w:color w:val="auto"/>
                <w:sz w:val="24"/>
              </w:rPr>
              <w:t>10</w:t>
            </w:r>
          </w:p>
        </w:tc>
      </w:tr>
      <w:tr w14:paraId="445644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7" w:hRule="atLeast"/>
        </w:trPr>
        <w:tc>
          <w:tcPr>
            <w:tcW w:w="1308" w:type="dxa"/>
            <w:noWrap w:val="0"/>
            <w:vAlign w:val="center"/>
          </w:tcPr>
          <w:p w14:paraId="113D3F87">
            <w:pPr>
              <w:pStyle w:val="7"/>
              <w:spacing w:line="360" w:lineRule="exact"/>
              <w:jc w:val="center"/>
              <w:rPr>
                <w:b/>
                <w:bCs/>
                <w:color w:val="auto"/>
                <w:sz w:val="21"/>
                <w:szCs w:val="21"/>
              </w:rPr>
            </w:pPr>
            <w:r>
              <w:rPr>
                <w:rFonts w:hint="eastAsia"/>
                <w:b/>
                <w:bCs/>
                <w:color w:val="auto"/>
                <w:sz w:val="21"/>
                <w:szCs w:val="21"/>
              </w:rPr>
              <w:t>教师素养与创新特色</w:t>
            </w:r>
          </w:p>
        </w:tc>
        <w:tc>
          <w:tcPr>
            <w:tcW w:w="6562" w:type="dxa"/>
            <w:noWrap w:val="0"/>
            <w:vAlign w:val="center"/>
          </w:tcPr>
          <w:p w14:paraId="13E52CB9">
            <w:pPr>
              <w:pStyle w:val="7"/>
              <w:spacing w:line="360" w:lineRule="exact"/>
              <w:jc w:val="both"/>
              <w:rPr>
                <w:rFonts w:ascii="仿宋" w:hAnsi="仿宋" w:eastAsia="仿宋" w:cs="仿宋"/>
                <w:color w:val="auto"/>
                <w:sz w:val="24"/>
              </w:rPr>
            </w:pPr>
            <w:r>
              <w:rPr>
                <w:rFonts w:hint="eastAsia" w:ascii="仿宋" w:hAnsi="仿宋" w:eastAsia="仿宋" w:cs="仿宋"/>
                <w:color w:val="auto"/>
                <w:sz w:val="24"/>
              </w:rPr>
              <w:t>具有良好的专业素养、科学精神、人文情怀；教态大方，举止得体，精神饱满，综合素质高；个人教学特色突出。</w:t>
            </w:r>
          </w:p>
        </w:tc>
        <w:tc>
          <w:tcPr>
            <w:tcW w:w="900" w:type="dxa"/>
            <w:noWrap w:val="0"/>
            <w:vAlign w:val="center"/>
          </w:tcPr>
          <w:p w14:paraId="54A2D713">
            <w:pPr>
              <w:pStyle w:val="7"/>
              <w:spacing w:line="360" w:lineRule="exact"/>
              <w:jc w:val="center"/>
              <w:rPr>
                <w:rFonts w:ascii="仿宋" w:hAnsi="仿宋" w:eastAsia="仿宋" w:cs="仿宋"/>
                <w:color w:val="auto"/>
                <w:sz w:val="24"/>
              </w:rPr>
            </w:pPr>
            <w:r>
              <w:rPr>
                <w:rFonts w:hint="eastAsia" w:ascii="仿宋" w:hAnsi="仿宋" w:eastAsia="仿宋" w:cs="仿宋"/>
                <w:color w:val="auto"/>
                <w:sz w:val="24"/>
              </w:rPr>
              <w:t>15</w:t>
            </w:r>
          </w:p>
        </w:tc>
      </w:tr>
      <w:tr w14:paraId="401309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9" w:hRule="atLeast"/>
        </w:trPr>
        <w:tc>
          <w:tcPr>
            <w:tcW w:w="1308" w:type="dxa"/>
            <w:noWrap w:val="0"/>
            <w:vAlign w:val="center"/>
          </w:tcPr>
          <w:p w14:paraId="1E843362">
            <w:pPr>
              <w:pStyle w:val="7"/>
              <w:spacing w:line="360" w:lineRule="exact"/>
              <w:jc w:val="center"/>
              <w:rPr>
                <w:b/>
                <w:bCs/>
                <w:color w:val="auto"/>
                <w:sz w:val="21"/>
                <w:szCs w:val="21"/>
              </w:rPr>
            </w:pPr>
            <w:r>
              <w:rPr>
                <w:rFonts w:hint="eastAsia"/>
                <w:b/>
                <w:bCs/>
                <w:color w:val="auto"/>
                <w:sz w:val="21"/>
                <w:szCs w:val="21"/>
              </w:rPr>
              <w:t>现场提问</w:t>
            </w:r>
          </w:p>
        </w:tc>
        <w:tc>
          <w:tcPr>
            <w:tcW w:w="6562" w:type="dxa"/>
            <w:noWrap w:val="0"/>
            <w:vAlign w:val="center"/>
          </w:tcPr>
          <w:p w14:paraId="1B890F5B">
            <w:pPr>
              <w:pStyle w:val="7"/>
              <w:spacing w:line="360" w:lineRule="exact"/>
              <w:jc w:val="both"/>
              <w:rPr>
                <w:rFonts w:ascii="仿宋" w:hAnsi="仿宋" w:eastAsia="仿宋" w:cs="仿宋"/>
                <w:color w:val="auto"/>
                <w:sz w:val="24"/>
              </w:rPr>
            </w:pPr>
            <w:r>
              <w:rPr>
                <w:rFonts w:hint="eastAsia" w:ascii="仿宋" w:hAnsi="仿宋" w:eastAsia="仿宋" w:cs="仿宋"/>
                <w:color w:val="auto"/>
                <w:sz w:val="24"/>
              </w:rPr>
              <w:t>回答评委提出的问题，条理清晰，抓住要点，观点正确，理由充分，见解独到，针对性强。</w:t>
            </w:r>
          </w:p>
        </w:tc>
        <w:tc>
          <w:tcPr>
            <w:tcW w:w="900" w:type="dxa"/>
            <w:noWrap w:val="0"/>
            <w:vAlign w:val="center"/>
          </w:tcPr>
          <w:p w14:paraId="495E6D29">
            <w:pPr>
              <w:pStyle w:val="7"/>
              <w:spacing w:line="360" w:lineRule="exact"/>
              <w:jc w:val="center"/>
              <w:rPr>
                <w:rFonts w:ascii="仿宋" w:hAnsi="仿宋" w:eastAsia="仿宋" w:cs="仿宋"/>
                <w:color w:val="auto"/>
                <w:sz w:val="24"/>
              </w:rPr>
            </w:pPr>
            <w:r>
              <w:rPr>
                <w:rFonts w:hint="eastAsia" w:ascii="仿宋" w:hAnsi="仿宋" w:eastAsia="仿宋" w:cs="仿宋"/>
                <w:color w:val="auto"/>
                <w:sz w:val="24"/>
              </w:rPr>
              <w:t>10</w:t>
            </w:r>
          </w:p>
        </w:tc>
      </w:tr>
    </w:tbl>
    <w:p w14:paraId="310B5919">
      <w:pPr>
        <w:rPr>
          <w:rFonts w:hint="eastAsia" w:eastAsia="等线"/>
          <w:color w:val="auto"/>
          <w:lang w:eastAsia="zh-CN"/>
        </w:rPr>
      </w:pPr>
    </w:p>
    <w:p w14:paraId="204252B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PMingLiU">
    <w:altName w:val="Perpetua Titling MT"/>
    <w:panose1 w:val="02020500000000000000"/>
    <w:charset w:val="00"/>
    <w:family w:val="roman"/>
    <w:pitch w:val="default"/>
    <w:sig w:usb0="00000000" w:usb1="00000000" w:usb2="00000016" w:usb3="00000000" w:csb0="00100001" w:csb1="00000000"/>
  </w:font>
  <w:font w:name="Perpetua Titling MT">
    <w:panose1 w:val="02020502060505020804"/>
    <w:charset w:val="00"/>
    <w:family w:val="auto"/>
    <w:pitch w:val="default"/>
    <w:sig w:usb0="00000003" w:usb1="00000000" w:usb2="00000000" w:usb3="00000000" w:csb0="20000001"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4FF72E">
    <w:pPr>
      <w:pStyle w:val="3"/>
      <w:spacing w:line="14" w:lineRule="auto"/>
      <w:ind w:left="0"/>
      <w:rPr>
        <w:sz w:val="20"/>
      </w:rPr>
    </w:pPr>
    <w:r>
      <w:rPr>
        <w:sz w:val="20"/>
        <w:lang w:val="en-US"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7E50895D">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5</w:t>
                          </w:r>
                          <w:r>
                            <w:rPr>
                              <w:rFonts w:hint="eastAsia" w:ascii="宋体" w:hAnsi="宋体" w:eastAsia="宋体" w:cs="宋体"/>
                              <w:sz w:val="28"/>
                              <w:szCs w:val="2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B1NShz0QEAAKIDAAAOAAAAAAAAAAEAIAAAAB8BAABk&#10;cnMvZTJvRG9jLnhtbFBLBQYAAAAABgAGAFkBAABiBQAAAAA=&#10;">
              <v:fill on="f" focussize="0,0"/>
              <v:stroke on="f" weight="0.5pt"/>
              <v:imagedata o:title=""/>
              <o:lock v:ext="edit" aspectratio="f"/>
              <v:textbox inset="0mm,0mm,0mm,0mm" style="mso-fit-shape-to-text:t;">
                <w:txbxContent>
                  <w:p w14:paraId="7E50895D">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5</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03074BA"/>
    <w:rsid w:val="5D097E3B"/>
    <w:rsid w:val="5F7710A7"/>
    <w:rsid w:val="6FF86903"/>
    <w:rsid w:val="78773E66"/>
    <w:rsid w:val="7C8942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1"/>
    <w:pPr>
      <w:spacing w:before="288"/>
      <w:ind w:left="2706" w:right="1164" w:hanging="1815"/>
      <w:outlineLvl w:val="0"/>
    </w:pPr>
    <w:rPr>
      <w:rFonts w:ascii="PMingLiU" w:hAnsi="PMingLiU" w:eastAsia="PMingLiU" w:cs="PMingLiU"/>
      <w:sz w:val="44"/>
      <w:szCs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pPr>
      <w:ind w:left="162"/>
    </w:pPr>
    <w:rPr>
      <w:rFonts w:ascii="等线" w:hAnsi="等线" w:eastAsia="等线" w:cs="Times New Roman"/>
      <w:sz w:val="32"/>
      <w:szCs w:val="32"/>
    </w:rPr>
  </w:style>
  <w:style w:type="paragraph" w:styleId="4">
    <w:name w:val="footer"/>
    <w:basedOn w:val="1"/>
    <w:qFormat/>
    <w:uiPriority w:val="0"/>
    <w:pPr>
      <w:tabs>
        <w:tab w:val="center" w:pos="4153"/>
        <w:tab w:val="right" w:pos="8306"/>
      </w:tabs>
      <w:snapToGrid w:val="0"/>
      <w:jc w:val="left"/>
    </w:pPr>
    <w:rPr>
      <w:sz w:val="18"/>
      <w:szCs w:val="18"/>
    </w:rPr>
  </w:style>
  <w:style w:type="paragraph" w:customStyle="1" w:styleId="7">
    <w:name w:val="Table Paragraph"/>
    <w:basedOn w:val="1"/>
    <w:qFormat/>
    <w:uiPriority w:val="1"/>
    <w:rPr>
      <w:rFonts w:ascii="等线" w:hAnsi="等线" w:eastAsia="等线" w:cs="Times New Roman"/>
      <w:sz w:val="21"/>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917</Words>
  <Characters>931</Characters>
  <Lines>0</Lines>
  <Paragraphs>0</Paragraphs>
  <TotalTime>0</TotalTime>
  <ScaleCrop>false</ScaleCrop>
  <LinksUpToDate>false</LinksUpToDate>
  <CharactersWithSpaces>931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2025-05-29T08:03:00Z</dcterms:created>
  <dc:creator>weo98</dc:creator>
  <cp:lastModifiedBy>刘亚丽</cp:lastModifiedBy>
  <dcterms:modified xsi:type="dcterms:W3CDTF">2025-06-05T01:24:11Z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eyJoZGlkIjoiNTE0Yzg4YjI3ZmJiNjNjNThmMWJjOTA1ZTdlYWQ3MzIiLCJ1c2VySWQiOiI0Mjk3NTA4NzEifQ==</vt:lpwstr>
  </property>
  <property fmtid="{D5CDD505-2E9C-101B-9397-08002B2CF9AE}" pid="4" name="ICV">
    <vt:lpwstr>8F29CB4E32C1465EA48A7D8651A8FD5A_12</vt:lpwstr>
  </property>
</Properties>
</file>