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仿宋_GB2312" w:cs="Times New Roman"/>
          <w:sz w:val="32"/>
          <w:szCs w:val="32"/>
        </w:rPr>
      </w:pPr>
      <w:bookmarkStart w:id="0" w:name="bookmark4"/>
      <w:bookmarkStart w:id="1" w:name="bookmark3"/>
      <w:bookmarkStart w:id="2" w:name="bookmark5"/>
    </w:p>
    <w:p>
      <w:pPr>
        <w:spacing w:line="560" w:lineRule="exact"/>
        <w:jc w:val="center"/>
        <w:rPr>
          <w:rFonts w:ascii="Times New Roman" w:hAnsi="Times New Roman" w:eastAsia="仿宋_GB2312" w:cs="Times New Roman"/>
          <w:sz w:val="32"/>
          <w:szCs w:val="32"/>
        </w:rPr>
      </w:pPr>
    </w:p>
    <w:p>
      <w:pPr>
        <w:spacing w:line="560" w:lineRule="exact"/>
        <w:jc w:val="center"/>
        <w:rPr>
          <w:rFonts w:ascii="Times New Roman" w:hAnsi="Times New Roman" w:eastAsia="仿宋_GB2312" w:cs="Times New Roman"/>
          <w:sz w:val="32"/>
          <w:szCs w:val="32"/>
        </w:rPr>
      </w:pPr>
    </w:p>
    <w:p>
      <w:pPr>
        <w:spacing w:line="560" w:lineRule="exact"/>
        <w:jc w:val="right"/>
        <w:rPr>
          <w:rFonts w:ascii="Times New Roman" w:hAnsi="Times New Roman" w:eastAsia="仿宋_GB2312" w:cs="Times New Roman"/>
          <w:sz w:val="32"/>
          <w:szCs w:val="32"/>
        </w:rPr>
      </w:pPr>
      <w:r>
        <w:rPr>
          <w:rFonts w:ascii="Times New Roman" w:hAnsi="Times New Roman" w:eastAsia="仿宋_GB2312" w:cs="Times New Roman"/>
          <w:sz w:val="32"/>
          <w:szCs w:val="32"/>
        </w:rPr>
        <w:t>津教</w:t>
      </w:r>
      <w:r>
        <w:rPr>
          <w:rFonts w:hint="eastAsia" w:ascii="Times New Roman" w:hAnsi="Times New Roman" w:eastAsia="仿宋_GB2312" w:cs="Times New Roman"/>
          <w:sz w:val="32"/>
          <w:szCs w:val="32"/>
          <w:lang w:eastAsia="zh-CN"/>
        </w:rPr>
        <w:t>高函</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26</w:t>
      </w:r>
      <w:r>
        <w:rPr>
          <w:rFonts w:ascii="Times New Roman" w:hAnsi="Times New Roman" w:eastAsia="仿宋_GB2312" w:cs="Times New Roman"/>
          <w:sz w:val="32"/>
          <w:szCs w:val="32"/>
        </w:rPr>
        <w:t>号</w:t>
      </w:r>
    </w:p>
    <w:p>
      <w:pPr>
        <w:spacing w:line="560" w:lineRule="exact"/>
        <w:jc w:val="both"/>
        <w:rPr>
          <w:rFonts w:ascii="Times New Roman" w:hAnsi="Times New Roman" w:eastAsia="仿宋_GB2312" w:cs="Times New Roman"/>
          <w:sz w:val="32"/>
          <w:szCs w:val="32"/>
        </w:rPr>
      </w:pPr>
    </w:p>
    <w:p>
      <w:pPr>
        <w:spacing w:line="560" w:lineRule="exact"/>
        <w:jc w:val="center"/>
        <w:rPr>
          <w:rFonts w:hint="eastAsia" w:ascii="Times New Roman" w:hAnsi="Times New Roman" w:eastAsia="方正小标宋简体" w:cs="Times New Roman"/>
          <w:sz w:val="44"/>
          <w:szCs w:val="44"/>
          <w:lang w:eastAsia="zh-CN"/>
        </w:rPr>
      </w:pPr>
      <w:r>
        <w:rPr>
          <w:rFonts w:ascii="Times New Roman" w:hAnsi="Times New Roman" w:eastAsia="方正小标宋简体" w:cs="Times New Roman"/>
          <w:sz w:val="44"/>
          <w:szCs w:val="44"/>
        </w:rPr>
        <w:t>关于开展</w:t>
      </w:r>
      <w:bookmarkStart w:id="3" w:name="_Hlk65505431"/>
      <w:r>
        <w:rPr>
          <w:rFonts w:hint="eastAsia" w:ascii="Times New Roman" w:hAnsi="Times New Roman" w:eastAsia="方正小标宋简体" w:cs="Times New Roman"/>
          <w:sz w:val="44"/>
          <w:szCs w:val="44"/>
          <w:lang w:val="en-US" w:eastAsia="zh-CN"/>
        </w:rPr>
        <w:t>2023年</w:t>
      </w:r>
      <w:r>
        <w:rPr>
          <w:rFonts w:ascii="Times New Roman" w:hAnsi="Times New Roman" w:eastAsia="方正小标宋简体" w:cs="Times New Roman"/>
          <w:sz w:val="44"/>
          <w:szCs w:val="44"/>
        </w:rPr>
        <w:t>天津市高校</w:t>
      </w:r>
      <w:bookmarkEnd w:id="3"/>
      <w:r>
        <w:rPr>
          <w:rFonts w:hint="eastAsia" w:ascii="Times New Roman" w:hAnsi="Times New Roman" w:eastAsia="方正小标宋简体" w:cs="Times New Roman"/>
          <w:sz w:val="44"/>
          <w:szCs w:val="44"/>
          <w:lang w:eastAsia="zh-CN"/>
        </w:rPr>
        <w:t>市级优秀基层</w:t>
      </w:r>
    </w:p>
    <w:p>
      <w:pPr>
        <w:spacing w:line="56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eastAsia="zh-CN"/>
        </w:rPr>
        <w:t>教学组织</w:t>
      </w:r>
      <w:r>
        <w:rPr>
          <w:rFonts w:hint="eastAsia" w:ascii="Times New Roman" w:hAnsi="Times New Roman" w:eastAsia="方正小标宋简体" w:cs="Times New Roman"/>
          <w:sz w:val="44"/>
          <w:szCs w:val="44"/>
        </w:rPr>
        <w:t>认定</w:t>
      </w:r>
      <w:r>
        <w:rPr>
          <w:rFonts w:ascii="Times New Roman" w:hAnsi="Times New Roman" w:eastAsia="方正小标宋简体" w:cs="Times New Roman"/>
          <w:sz w:val="44"/>
          <w:szCs w:val="44"/>
        </w:rPr>
        <w:t>工作的通知</w:t>
      </w:r>
      <w:bookmarkEnd w:id="0"/>
      <w:bookmarkEnd w:id="1"/>
      <w:bookmarkEnd w:id="2"/>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各普通高等学校</w:t>
      </w:r>
      <w:r>
        <w:rPr>
          <w:rFonts w:hint="eastAsia" w:ascii="Times New Roman" w:hAnsi="Times New Roman" w:eastAsia="仿宋_GB2312" w:cs="Times New Roman"/>
          <w:sz w:val="32"/>
          <w:szCs w:val="32"/>
          <w:lang w:eastAsia="zh-CN"/>
        </w:rPr>
        <w:t>、市大学软件学院</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落实习近平总书记关于建设教育强国的重要指示精神和教育部关于加强高校基层教学组织建设的工作要求，引导各高校推动基层教学组织创先培优，更好发挥基层教学组织在立德树人、提高教学水平和人才培养质量中的作用，经研究，市教委决定开展天津市高校市级优秀基层教学组织认定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市教委将以五年（2023年至2027年）为建设周期，认定100个左右市级优秀基层教学组织，做好市级优秀基层教学组织经验和成果的经验总结、宣传推广和交流工作，促进普通高校坚持“以本为本”，将人才培养工作落到实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请各学校根据《天津市普通高校市级优秀基层教学组织申报指南》（见附件），做好本校候选基层教学组织的遴选、推荐工作，规范填写并按时报送材料。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联系人：孙亮，联系电话：18920205122</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附件：天津市普通高校市级优秀基层教学组织申报指南</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806" w:firstLineChars="1502"/>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2023年10月7</w:t>
      </w:r>
      <w:bookmarkStart w:id="4" w:name="_GoBack"/>
      <w:bookmarkEnd w:id="4"/>
      <w:r>
        <w:rPr>
          <w:rFonts w:hint="eastAsia" w:ascii="Times New Roman" w:hAnsi="Times New Roman" w:eastAsia="仿宋_GB2312" w:cs="Times New Roman"/>
          <w:sz w:val="32"/>
          <w:szCs w:val="3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Tg2NTVjYjMxZjY0YTI5ZGYyMGNkYjBkZDBhZjYifQ=="/>
  </w:docVars>
  <w:rsids>
    <w:rsidRoot w:val="00000000"/>
    <w:rsid w:val="1C0732E7"/>
    <w:rsid w:val="3FF7269F"/>
    <w:rsid w:val="7D9A3469"/>
    <w:rsid w:val="7DB05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2023-09-27T08:33:00Z</dcterms:created>
  <dc:creator>user</dc:creator>
  <cp:lastModifiedBy>孙亮</cp:lastModifiedBy>
  <cp:lastPrinted>2023-10-07T07:21:51Z</cp:lastPrinted>
  <dcterms:modified xsi:type="dcterms:W3CDTF">2023-10-07T07:34:01Z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33FC9EF736BB4B2D97CB4CF966D4BCF7_12</vt:lpwstr>
  </property>
</Properties>
</file>